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附件2：</w:t>
      </w:r>
    </w:p>
    <w:p>
      <w:pPr>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竞选响应文件组成</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一、竞选响应文件提交要求:</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1、投标人（法人或投标人本人）必须对响应文件中逐页签章，未完全签章的视为无效投标。</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2、投标响应文件一式三份，用文件袋密封后，在密封口处签字或盖章。</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3、竞选响应文件必须在12月6日下午5点前送到教工餐厅一楼饮食服务中心办公室，逾期不受理。</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二、竞选人资质</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1、提供法人或者其他组织的营业执照、或个人身份证等证明文件）。</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2、在参加遴选活动前三年没有违法犯罪记录（提交无违法犯罪承诺）。</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3、参选人未被列入“信用中国”网站(www.creditchina.gov.cn)“记录失信被执行人或税收违法黑名单”记录名单。</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ascii="宋体" w:hAnsi="宋体" w:eastAsia="宋体" w:cs="宋体"/>
          <w:color w:val="000000"/>
          <w:kern w:val="0"/>
          <w:sz w:val="28"/>
          <w:szCs w:val="28"/>
          <w:lang w:val="en-US" w:eastAsia="zh-CN" w:bidi="ar-SA"/>
        </w:rPr>
        <w:t>4</w:t>
      </w:r>
      <w:r>
        <w:rPr>
          <w:rFonts w:hint="eastAsia" w:ascii="宋体" w:hAnsi="宋体" w:eastAsia="宋体" w:cs="宋体"/>
          <w:color w:val="000000"/>
          <w:kern w:val="0"/>
          <w:sz w:val="28"/>
          <w:szCs w:val="28"/>
          <w:lang w:val="en-US" w:eastAsia="zh-CN" w:bidi="ar-SA"/>
        </w:rPr>
        <w:t>、参选人应具有有效的《食品经营许可证》《餐饮服务许可证》（二选一提供证书复印件），或具有经营特色风味多年经营经营（提供以往档口经营协议）。</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三、特色风味档口名称及其菜品价格</w:t>
      </w:r>
    </w:p>
    <w:p>
      <w:pPr>
        <w:widowControl/>
        <w:spacing w:beforeAutospacing="0" w:afterAutospacing="0" w:line="450" w:lineRule="atLeast"/>
        <w:ind w:left="28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（一）特色风味档口名称：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3119"/>
        <w:gridCol w:w="1254"/>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1559"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菜品名称</w:t>
            </w:r>
          </w:p>
        </w:tc>
        <w:tc>
          <w:tcPr>
            <w:tcW w:w="3119"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主要原材料成分及重量</w:t>
            </w:r>
          </w:p>
        </w:tc>
        <w:tc>
          <w:tcPr>
            <w:tcW w:w="1254"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菜品价格（元）</w:t>
            </w:r>
          </w:p>
        </w:tc>
        <w:tc>
          <w:tcPr>
            <w:tcW w:w="1660"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1559" w:type="dxa"/>
          </w:tcPr>
          <w:p>
            <w:pPr>
              <w:widowControl/>
              <w:spacing w:line="0" w:lineRule="atLeast"/>
              <w:rPr>
                <w:rFonts w:ascii="宋体" w:hAnsi="宋体" w:eastAsia="宋体" w:cs="宋体"/>
                <w:color w:val="333333"/>
                <w:kern w:val="0"/>
                <w:sz w:val="24"/>
                <w:szCs w:val="24"/>
              </w:rPr>
            </w:pPr>
          </w:p>
        </w:tc>
        <w:tc>
          <w:tcPr>
            <w:tcW w:w="3119" w:type="dxa"/>
          </w:tcPr>
          <w:p>
            <w:pPr>
              <w:widowControl/>
              <w:spacing w:line="0" w:lineRule="atLeast"/>
              <w:rPr>
                <w:rFonts w:ascii="宋体" w:hAnsi="宋体" w:eastAsia="宋体" w:cs="宋体"/>
                <w:color w:val="333333"/>
                <w:kern w:val="0"/>
                <w:sz w:val="24"/>
                <w:szCs w:val="24"/>
              </w:rPr>
            </w:pPr>
          </w:p>
        </w:tc>
        <w:tc>
          <w:tcPr>
            <w:tcW w:w="1254" w:type="dxa"/>
          </w:tcPr>
          <w:p>
            <w:pPr>
              <w:widowControl/>
              <w:spacing w:line="0" w:lineRule="atLeast"/>
              <w:rPr>
                <w:rFonts w:ascii="宋体" w:hAnsi="宋体" w:eastAsia="宋体" w:cs="宋体"/>
                <w:color w:val="333333"/>
                <w:kern w:val="0"/>
                <w:sz w:val="24"/>
                <w:szCs w:val="24"/>
              </w:rPr>
            </w:pPr>
          </w:p>
        </w:tc>
        <w:tc>
          <w:tcPr>
            <w:tcW w:w="1660" w:type="dxa"/>
          </w:tcPr>
          <w:p>
            <w:pPr>
              <w:widowControl/>
              <w:spacing w:line="0" w:lineRule="atLeas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1559" w:type="dxa"/>
          </w:tcPr>
          <w:p>
            <w:pPr>
              <w:widowControl/>
              <w:spacing w:line="0" w:lineRule="atLeast"/>
              <w:rPr>
                <w:rFonts w:ascii="宋体" w:hAnsi="宋体" w:eastAsia="宋体" w:cs="宋体"/>
                <w:color w:val="333333"/>
                <w:kern w:val="0"/>
                <w:sz w:val="24"/>
                <w:szCs w:val="24"/>
              </w:rPr>
            </w:pPr>
          </w:p>
        </w:tc>
        <w:tc>
          <w:tcPr>
            <w:tcW w:w="3119" w:type="dxa"/>
          </w:tcPr>
          <w:p>
            <w:pPr>
              <w:widowControl/>
              <w:spacing w:line="0" w:lineRule="atLeast"/>
              <w:rPr>
                <w:rFonts w:ascii="宋体" w:hAnsi="宋体" w:eastAsia="宋体" w:cs="宋体"/>
                <w:color w:val="333333"/>
                <w:kern w:val="0"/>
                <w:sz w:val="24"/>
                <w:szCs w:val="24"/>
              </w:rPr>
            </w:pPr>
          </w:p>
        </w:tc>
        <w:tc>
          <w:tcPr>
            <w:tcW w:w="1254" w:type="dxa"/>
          </w:tcPr>
          <w:p>
            <w:pPr>
              <w:widowControl/>
              <w:spacing w:line="0" w:lineRule="atLeast"/>
              <w:rPr>
                <w:rFonts w:ascii="宋体" w:hAnsi="宋体" w:eastAsia="宋体" w:cs="宋体"/>
                <w:color w:val="333333"/>
                <w:kern w:val="0"/>
                <w:sz w:val="24"/>
                <w:szCs w:val="24"/>
              </w:rPr>
            </w:pPr>
          </w:p>
        </w:tc>
        <w:tc>
          <w:tcPr>
            <w:tcW w:w="1660" w:type="dxa"/>
          </w:tcPr>
          <w:p>
            <w:pPr>
              <w:widowControl/>
              <w:spacing w:line="0" w:lineRule="atLeas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1559" w:type="dxa"/>
          </w:tcPr>
          <w:p>
            <w:pPr>
              <w:widowControl/>
              <w:spacing w:line="0" w:lineRule="atLeast"/>
              <w:rPr>
                <w:rFonts w:ascii="宋体" w:hAnsi="宋体" w:eastAsia="宋体" w:cs="宋体"/>
                <w:color w:val="333333"/>
                <w:kern w:val="0"/>
                <w:sz w:val="24"/>
                <w:szCs w:val="24"/>
              </w:rPr>
            </w:pPr>
          </w:p>
        </w:tc>
        <w:tc>
          <w:tcPr>
            <w:tcW w:w="3119" w:type="dxa"/>
          </w:tcPr>
          <w:p>
            <w:pPr>
              <w:widowControl/>
              <w:spacing w:line="0" w:lineRule="atLeast"/>
              <w:rPr>
                <w:rFonts w:ascii="宋体" w:hAnsi="宋体" w:eastAsia="宋体" w:cs="宋体"/>
                <w:color w:val="333333"/>
                <w:kern w:val="0"/>
                <w:sz w:val="24"/>
                <w:szCs w:val="24"/>
              </w:rPr>
            </w:pPr>
          </w:p>
        </w:tc>
        <w:tc>
          <w:tcPr>
            <w:tcW w:w="1254" w:type="dxa"/>
          </w:tcPr>
          <w:p>
            <w:pPr>
              <w:widowControl/>
              <w:spacing w:line="0" w:lineRule="atLeast"/>
              <w:rPr>
                <w:rFonts w:ascii="宋体" w:hAnsi="宋体" w:eastAsia="宋体" w:cs="宋体"/>
                <w:color w:val="333333"/>
                <w:kern w:val="0"/>
                <w:sz w:val="24"/>
                <w:szCs w:val="24"/>
              </w:rPr>
            </w:pPr>
          </w:p>
        </w:tc>
        <w:tc>
          <w:tcPr>
            <w:tcW w:w="1660" w:type="dxa"/>
          </w:tcPr>
          <w:p>
            <w:pPr>
              <w:widowControl/>
              <w:spacing w:line="0" w:lineRule="atLeas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1559" w:type="dxa"/>
          </w:tcPr>
          <w:p>
            <w:pPr>
              <w:widowControl/>
              <w:spacing w:line="0" w:lineRule="atLeast"/>
              <w:rPr>
                <w:rFonts w:ascii="宋体" w:hAnsi="宋体" w:eastAsia="宋体" w:cs="宋体"/>
                <w:color w:val="333333"/>
                <w:kern w:val="0"/>
                <w:sz w:val="24"/>
                <w:szCs w:val="24"/>
              </w:rPr>
            </w:pPr>
          </w:p>
        </w:tc>
        <w:tc>
          <w:tcPr>
            <w:tcW w:w="3119" w:type="dxa"/>
          </w:tcPr>
          <w:p>
            <w:pPr>
              <w:widowControl/>
              <w:spacing w:line="0" w:lineRule="atLeast"/>
              <w:rPr>
                <w:rFonts w:ascii="宋体" w:hAnsi="宋体" w:eastAsia="宋体" w:cs="宋体"/>
                <w:color w:val="333333"/>
                <w:kern w:val="0"/>
                <w:sz w:val="24"/>
                <w:szCs w:val="24"/>
              </w:rPr>
            </w:pPr>
          </w:p>
        </w:tc>
        <w:tc>
          <w:tcPr>
            <w:tcW w:w="1254" w:type="dxa"/>
          </w:tcPr>
          <w:p>
            <w:pPr>
              <w:widowControl/>
              <w:spacing w:line="0" w:lineRule="atLeast"/>
              <w:rPr>
                <w:rFonts w:ascii="宋体" w:hAnsi="宋体" w:eastAsia="宋体" w:cs="宋体"/>
                <w:color w:val="333333"/>
                <w:kern w:val="0"/>
                <w:sz w:val="24"/>
                <w:szCs w:val="24"/>
              </w:rPr>
            </w:pPr>
          </w:p>
        </w:tc>
        <w:tc>
          <w:tcPr>
            <w:tcW w:w="1660" w:type="dxa"/>
          </w:tcPr>
          <w:p>
            <w:pPr>
              <w:widowControl/>
              <w:spacing w:line="0" w:lineRule="atLeas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spacing w:line="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tc>
        <w:tc>
          <w:tcPr>
            <w:tcW w:w="1559" w:type="dxa"/>
          </w:tcPr>
          <w:p>
            <w:pPr>
              <w:widowControl/>
              <w:spacing w:line="0" w:lineRule="atLeast"/>
              <w:rPr>
                <w:rFonts w:ascii="宋体" w:hAnsi="宋体" w:eastAsia="宋体" w:cs="宋体"/>
                <w:color w:val="333333"/>
                <w:kern w:val="0"/>
                <w:sz w:val="24"/>
                <w:szCs w:val="24"/>
              </w:rPr>
            </w:pPr>
          </w:p>
        </w:tc>
        <w:tc>
          <w:tcPr>
            <w:tcW w:w="3119" w:type="dxa"/>
          </w:tcPr>
          <w:p>
            <w:pPr>
              <w:widowControl/>
              <w:spacing w:line="0" w:lineRule="atLeast"/>
              <w:rPr>
                <w:rFonts w:ascii="宋体" w:hAnsi="宋体" w:eastAsia="宋体" w:cs="宋体"/>
                <w:color w:val="333333"/>
                <w:kern w:val="0"/>
                <w:sz w:val="24"/>
                <w:szCs w:val="24"/>
              </w:rPr>
            </w:pPr>
          </w:p>
        </w:tc>
        <w:tc>
          <w:tcPr>
            <w:tcW w:w="1254" w:type="dxa"/>
          </w:tcPr>
          <w:p>
            <w:pPr>
              <w:widowControl/>
              <w:spacing w:line="0" w:lineRule="atLeast"/>
              <w:rPr>
                <w:rFonts w:ascii="宋体" w:hAnsi="宋体" w:eastAsia="宋体" w:cs="宋体"/>
                <w:color w:val="333333"/>
                <w:kern w:val="0"/>
                <w:sz w:val="24"/>
                <w:szCs w:val="24"/>
              </w:rPr>
            </w:pPr>
          </w:p>
        </w:tc>
        <w:tc>
          <w:tcPr>
            <w:tcW w:w="1660" w:type="dxa"/>
          </w:tcPr>
          <w:p>
            <w:pPr>
              <w:widowControl/>
              <w:spacing w:line="0" w:lineRule="atLeast"/>
              <w:rPr>
                <w:rFonts w:ascii="宋体" w:hAnsi="宋体" w:eastAsia="宋体" w:cs="宋体"/>
                <w:color w:val="333333"/>
                <w:kern w:val="0"/>
                <w:sz w:val="24"/>
                <w:szCs w:val="24"/>
              </w:rPr>
            </w:pPr>
          </w:p>
        </w:tc>
      </w:tr>
    </w:tbl>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 （二）档口装修与配备设备方案</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设备配置方案》及其《设备清单和预算》（包括：设备名称、型号、规格、节能等级、数量、单价、安装位置）。教工餐厅负一楼特色服务档和服务部北侧第二级平台装修改造投资方案，包括室内装修、设备配置、平台改造工程量及其造价。</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2、总投资金额,提供清单</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3、设备配置清单：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73"/>
        <w:gridCol w:w="1373"/>
        <w:gridCol w:w="1487"/>
        <w:gridCol w:w="137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1373"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设备名称</w:t>
            </w:r>
          </w:p>
        </w:tc>
        <w:tc>
          <w:tcPr>
            <w:tcW w:w="1373"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型号规格</w:t>
            </w:r>
          </w:p>
        </w:tc>
        <w:tc>
          <w:tcPr>
            <w:tcW w:w="1487"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单价（元）</w:t>
            </w:r>
          </w:p>
        </w:tc>
        <w:tc>
          <w:tcPr>
            <w:tcW w:w="1373"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数量</w:t>
            </w:r>
          </w:p>
        </w:tc>
        <w:tc>
          <w:tcPr>
            <w:tcW w:w="1318"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1373"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487"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18"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c>
          <w:tcPr>
            <w:tcW w:w="1373"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487"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18"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487"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18"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487"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18"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487"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18"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487" w:type="dxa"/>
          </w:tcPr>
          <w:p>
            <w:pPr>
              <w:widowControl/>
              <w:spacing w:line="480" w:lineRule="auto"/>
              <w:rPr>
                <w:rFonts w:ascii="宋体" w:hAnsi="宋体" w:eastAsia="宋体" w:cs="宋体"/>
                <w:color w:val="333333"/>
                <w:kern w:val="0"/>
                <w:sz w:val="24"/>
                <w:szCs w:val="24"/>
              </w:rPr>
            </w:pPr>
          </w:p>
        </w:tc>
        <w:tc>
          <w:tcPr>
            <w:tcW w:w="1373" w:type="dxa"/>
          </w:tcPr>
          <w:p>
            <w:pPr>
              <w:widowControl/>
              <w:spacing w:line="480" w:lineRule="auto"/>
              <w:rPr>
                <w:rFonts w:ascii="宋体" w:hAnsi="宋体" w:eastAsia="宋体" w:cs="宋体"/>
                <w:color w:val="333333"/>
                <w:kern w:val="0"/>
                <w:sz w:val="24"/>
                <w:szCs w:val="24"/>
              </w:rPr>
            </w:pPr>
          </w:p>
        </w:tc>
        <w:tc>
          <w:tcPr>
            <w:tcW w:w="1318"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5" w:type="dxa"/>
            <w:gridSpan w:val="4"/>
          </w:tcPr>
          <w:p>
            <w:pPr>
              <w:widowControl/>
              <w:spacing w:line="480" w:lineRule="auto"/>
              <w:ind w:firstLine="2400" w:firstLineChars="1000"/>
              <w:rPr>
                <w:rFonts w:ascii="宋体" w:hAnsi="宋体" w:eastAsia="宋体" w:cs="宋体"/>
                <w:color w:val="333333"/>
                <w:kern w:val="0"/>
                <w:sz w:val="24"/>
                <w:szCs w:val="24"/>
              </w:rPr>
            </w:pPr>
            <w:r>
              <w:rPr>
                <w:rFonts w:hint="eastAsia" w:ascii="宋体" w:hAnsi="宋体" w:eastAsia="宋体" w:cs="宋体"/>
                <w:color w:val="333333"/>
                <w:kern w:val="0"/>
                <w:sz w:val="24"/>
                <w:szCs w:val="24"/>
              </w:rPr>
              <w:t>合计</w:t>
            </w:r>
          </w:p>
        </w:tc>
        <w:tc>
          <w:tcPr>
            <w:tcW w:w="1373" w:type="dxa"/>
          </w:tcPr>
          <w:p>
            <w:pPr>
              <w:widowControl/>
              <w:spacing w:line="480" w:lineRule="auto"/>
              <w:rPr>
                <w:rFonts w:ascii="宋体" w:hAnsi="宋体" w:eastAsia="宋体" w:cs="宋体"/>
                <w:color w:val="333333"/>
                <w:kern w:val="0"/>
                <w:sz w:val="24"/>
                <w:szCs w:val="24"/>
              </w:rPr>
            </w:pPr>
          </w:p>
        </w:tc>
        <w:tc>
          <w:tcPr>
            <w:tcW w:w="1318" w:type="dxa"/>
          </w:tcPr>
          <w:p>
            <w:pPr>
              <w:widowControl/>
              <w:spacing w:line="480" w:lineRule="auto"/>
              <w:rPr>
                <w:rFonts w:ascii="宋体" w:hAnsi="宋体" w:eastAsia="宋体" w:cs="宋体"/>
                <w:color w:val="333333"/>
                <w:kern w:val="0"/>
                <w:sz w:val="24"/>
                <w:szCs w:val="24"/>
              </w:rPr>
            </w:pPr>
          </w:p>
        </w:tc>
      </w:tr>
    </w:tbl>
    <w:p>
      <w:pPr>
        <w:widowControl/>
        <w:shd w:val="clear" w:color="auto" w:fill="FFFFFF"/>
        <w:spacing w:line="480" w:lineRule="auto"/>
        <w:ind w:firstLine="555"/>
        <w:rPr>
          <w:rFonts w:ascii="宋体" w:hAnsi="宋体" w:eastAsia="宋体" w:cs="宋体"/>
          <w:color w:val="000000"/>
          <w:kern w:val="0"/>
          <w:sz w:val="28"/>
          <w:szCs w:val="28"/>
        </w:rPr>
      </w:pPr>
      <w:r>
        <w:rPr>
          <w:rFonts w:hint="eastAsia" w:ascii="宋体" w:hAnsi="宋体" w:eastAsia="宋体" w:cs="宋体"/>
          <w:color w:val="000000"/>
          <w:kern w:val="0"/>
          <w:sz w:val="28"/>
          <w:szCs w:val="28"/>
        </w:rPr>
        <w:t>4、装修改造效果图和平面布局图。</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（三）人员配备情况：</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人员花名册（如有学历证、厨师证、安全员证附上）</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p>
    <w:p>
      <w:pP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br w:type="page"/>
      </w:r>
    </w:p>
    <w:p>
      <w:pPr>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特色风味窗口安全经营的承诺函</w:t>
      </w:r>
    </w:p>
    <w:p>
      <w:pPr>
        <w:widowControl/>
        <w:spacing w:beforeAutospacing="0" w:afterAutospacing="0" w:line="450" w:lineRule="atLeast"/>
        <w:ind w:firstLine="280" w:firstLineChars="100"/>
        <w:jc w:val="center"/>
        <w:textAlignment w:val="baseline"/>
        <w:rPr>
          <w:rFonts w:ascii="宋体" w:hAnsi="宋体" w:eastAsia="宋体" w:cs="宋体"/>
          <w:color w:val="000000"/>
          <w:kern w:val="0"/>
          <w:sz w:val="28"/>
          <w:szCs w:val="28"/>
          <w:lang w:val="en-US" w:eastAsia="zh-CN" w:bidi="ar-SA"/>
        </w:rPr>
      </w:pPr>
    </w:p>
    <w:p>
      <w:pPr>
        <w:widowControl/>
        <w:spacing w:beforeAutospacing="0" w:afterAutospacing="0" w:line="450" w:lineRule="atLeast"/>
        <w:ind w:firstLine="560" w:firstLineChars="2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承诺在经营过程中自觉遵守法律法规和学校相关制度，严格执行《中华人民共和国食品卫生法》《广东省食品安全条例》等饮食卫生</w:t>
      </w:r>
      <w:bookmarkStart w:id="0" w:name="_GoBack"/>
      <w:bookmarkEnd w:id="0"/>
      <w:r>
        <w:rPr>
          <w:rFonts w:hint="eastAsia" w:ascii="宋体" w:hAnsi="宋体" w:eastAsia="宋体" w:cs="宋体"/>
          <w:color w:val="000000"/>
          <w:kern w:val="0"/>
          <w:sz w:val="28"/>
          <w:szCs w:val="28"/>
          <w:lang w:val="en-US" w:eastAsia="zh-CN" w:bidi="ar-SA"/>
        </w:rPr>
        <w:t>安全法规，严格履行合同，自觉接受学校及卫生主管部门的管理，接受师生员工的监督，并积极听取意见和建议，采取有效措施，不断提高服务水平和质量。</w:t>
      </w:r>
    </w:p>
    <w:p>
      <w:pPr>
        <w:widowControl/>
        <w:spacing w:beforeAutospacing="0" w:afterAutospacing="0" w:line="450" w:lineRule="atLeast"/>
        <w:ind w:firstLine="560" w:firstLineChars="2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承诺承担涉及第三方知识产权、名誉权和专利等的一切责任，承担经营过程中的一切风险。</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              </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承诺人（签章）：</w:t>
      </w:r>
    </w:p>
    <w:p>
      <w:pPr>
        <w:widowControl/>
        <w:spacing w:beforeAutospacing="0" w:afterAutospacing="0" w:line="450" w:lineRule="atLeast"/>
        <w:ind w:firstLine="280" w:firstLineChars="100"/>
        <w:jc w:val="left"/>
        <w:textAlignment w:val="baseline"/>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                   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zE1NzhjYjg4Njc4OTg1OGY0MDFkZmM0OTA2MjEifQ=="/>
  </w:docVars>
  <w:rsids>
    <w:rsidRoot w:val="00000000"/>
    <w:rsid w:val="267B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2022-11-18T00:51:32Z</dcterms:created>
  <dc:creator>Administrator</dc:creator>
  <cp:lastModifiedBy>Administrator</cp:lastModifiedBy>
  <dcterms:modified xsi:type="dcterms:W3CDTF">2022-11-18T00:52:31Z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F6FF3D41125D47AB83345FB92B207CDB</vt:lpwstr>
  </property>
</Properties>
</file>